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D14" w:rsidRDefault="00E46151" w:rsidP="00E46151">
      <w:r w:rsidRPr="00561C3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AE6FEAF" wp14:editId="6AC566F9">
            <wp:extent cx="5760720" cy="6011538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Q_Mpox.tif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718" b="4744"/>
                    <a:stretch/>
                  </pic:blipFill>
                  <pic:spPr bwMode="auto">
                    <a:xfrm>
                      <a:off x="0" y="0"/>
                      <a:ext cx="5765021" cy="60160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6151" w:rsidRPr="00E46151" w:rsidRDefault="00E46151" w:rsidP="00E46151">
      <w:pPr>
        <w:autoSpaceDE w:val="0"/>
        <w:autoSpaceDN w:val="0"/>
        <w:adjustRightInd w:val="0"/>
        <w:spacing w:after="0" w:line="240" w:lineRule="auto"/>
        <w:rPr>
          <w:rFonts w:ascii="NimbusRomNo9L-Regu" w:hAnsi="NimbusRomNo9L-Regu" w:cs="NimbusRomNo9L-Regu"/>
          <w:sz w:val="20"/>
          <w:szCs w:val="20"/>
        </w:rPr>
      </w:pPr>
      <w:r w:rsidRPr="00D855B6">
        <w:rPr>
          <w:rFonts w:ascii="NimbusRomNo9L-Regu" w:hAnsi="NimbusRomNo9L-Regu" w:cs="NimbusRomNo9L-Regu"/>
          <w:b/>
          <w:sz w:val="20"/>
          <w:szCs w:val="20"/>
        </w:rPr>
        <w:t>Figure S</w:t>
      </w:r>
      <w:r>
        <w:rPr>
          <w:rFonts w:ascii="NimbusRomNo9L-Regu" w:hAnsi="NimbusRomNo9L-Regu" w:cs="NimbusRomNo9L-Regu"/>
          <w:b/>
          <w:sz w:val="20"/>
          <w:szCs w:val="20"/>
        </w:rPr>
        <w:t>3</w:t>
      </w:r>
      <w:r w:rsidRPr="00D855B6">
        <w:rPr>
          <w:rFonts w:ascii="NimbusRomNo9L-Regu" w:hAnsi="NimbusRomNo9L-Regu" w:cs="NimbusRomNo9L-Regu"/>
          <w:b/>
          <w:sz w:val="20"/>
          <w:szCs w:val="20"/>
        </w:rPr>
        <w:t>.</w:t>
      </w:r>
      <w:r w:rsidRPr="00D855B6">
        <w:rPr>
          <w:rFonts w:ascii="NimbusRomNo9L-Regu" w:hAnsi="NimbusRomNo9L-Regu" w:cs="NimbusRomNo9L-Regu"/>
          <w:sz w:val="20"/>
          <w:szCs w:val="20"/>
        </w:rPr>
        <w:t xml:space="preserve"> Limit of quantification (LOQ) of the G2R_G (a), G2R_NML (b), and F3L (c) qPCR assays. Coefficient of variance calculated from a 10-fold serial dilution fitted to a linear regression model for estimation of the LOQ (solid blue line). Grey band indicates the 95% confidence interval of the regression fit. Black dotted line indicates when the coefficient of variance equals 35% (dashed blue line).</w:t>
      </w:r>
      <w:bookmarkStart w:id="0" w:name="_GoBack"/>
      <w:bookmarkEnd w:id="0"/>
    </w:p>
    <w:sectPr w:rsidR="00E46151" w:rsidRPr="00E46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19"/>
    <w:rsid w:val="00012E59"/>
    <w:rsid w:val="003A4037"/>
    <w:rsid w:val="00411D14"/>
    <w:rsid w:val="00BE4819"/>
    <w:rsid w:val="00E4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C51C6"/>
  <w15:chartTrackingRefBased/>
  <w15:docId w15:val="{C6E3B616-6AA7-4142-B2B7-7ABE24B0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>Public Health Agency of Canada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 Fisher</dc:creator>
  <cp:keywords/>
  <dc:description/>
  <cp:lastModifiedBy>Mathew Fisher</cp:lastModifiedBy>
  <cp:revision>3</cp:revision>
  <dcterms:created xsi:type="dcterms:W3CDTF">2025-03-27T13:41:00Z</dcterms:created>
  <dcterms:modified xsi:type="dcterms:W3CDTF">2025-03-27T13:42:00Z</dcterms:modified>
</cp:coreProperties>
</file>